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768" meta:character-count="5639" meta:non-whitespace-character-count="5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