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E-mail van SOL over seniorvriendelijkheid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gemeentebestuur.leusden.nl/Documenten/E-mail-van-SOL-over-seniorvriendelijkheid-gemeente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Controlelijst senior vriendelijk gemeentebeleid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gemeentebestuur.leusden.nl/Documenten/BIjlage-Controlelijst-senior-vriendelijk-gemeentebelei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Handreiking Gemeenteraadsverkiezingen 2022 VNO-NCW en MKB Midden provincie Utrecht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385,95 KB</text:p>
          </table:table-cell>
          <table:table-cell table:style-name="Table3.A2" office:value-type="string">
            <text:p text:style-name="P22">
              <text:a xlink:type="simple" xlink:href="https://gemeentebestuur.leusden.nl/Documenten/Handreiking-Gemeenteraadsverkiezingen-2022-VNO-NCW-en-MKB-Midden-provincie-Utrecht-sept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Een vitaal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bestuur.leusden.nl/Documenten/Bijlage-Een-vitaal-landelijk-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LTO Gelderse Vallei vitaal landelijk gebied Leusden (1)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147,86 KB</text:p>
          </table:table-cell>
          <table:table-cell table:style-name="Table3.A2" office:value-type="string">
            <text:p text:style-name="P22">
              <text:a xlink:type="simple" xlink:href="https://gemeentebestuur.leusden.nl/Documenten/Aanbiedingsbrief-LTO-Gelderse-Vallei-vitaal-landelijk-gebied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06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