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BING-brief risicoanalyses integriteit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211,60 KB</text:p>
          </table:table-cell>
          <table:table-cell table:style-name="Table3.A2" office:value-type="string">
            <text:p text:style-name="P22">
              <text:a xlink:type="simple" xlink:href="https://gemeentebestuur.leusden.nl/Documenten/Bijlage-bij-BING-brief-risicoanalyses-integr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E-mail BING-brief risicoanalyses integriteit - Leusden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91,52 KB</text:p>
          </table:table-cell>
          <table:table-cell table:style-name="Table3.A2" office:value-type="string">
            <text:p text:style-name="P22">
              <text:a xlink:type="simple" xlink:href="https://gemeentebestuur.leusden.nl/Documenten/E-mail-BING-brief-risicoanalyses-integriteit-Leus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E-mail TLN over Nederland Logistiek artikel gemeentemanifest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265,67 KB</text:p>
          </table:table-cell>
          <table:table-cell table:style-name="Table3.A2" office:value-type="string">
            <text:p text:style-name="P22">
              <text:a xlink:type="simple" xlink:href="https://gemeentebestuur.leusden.nl/Documenten/E-mail-TLN-over-Nederland-Logistiek-artikel-gemeentemanife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87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