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ProRail PR_Position paper Tweede Kamer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14-08-2025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8,47 MB</text:p>
          </table:table-cell>
          <table:table-cell table:style-name="Table3.A2" office:value-type="string">
            <text:p text:style-name="P22">
              <text:a xlink:type="simple" xlink:href="https://gemeentebestuur.leusden.nl/Documenten/ProRail-PR-Position-paper-Tweede-Kamer-Verkiez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ProRail Aanbiedingsbrief gemeenteraadsverkiezingen tbv programmacommissies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526,72 KB</text:p>
          </table:table-cell>
          <table:table-cell table:style-name="Table3.A2" office:value-type="string">
            <text:p text:style-name="P22">
              <text:a xlink:type="simple" xlink:href="https://gemeentebestuur.leusden.nl/Documenten/ProRail-Aanbiedingsbrief-gemeenteraadsverkiezingen-tbv-programmacommissies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Natuurmonumenten Utrecht - Brief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93,48 KB</text:p>
          </table:table-cell>
          <table:table-cell table:style-name="Table3.A2" office:value-type="string">
            <text:p text:style-name="P22">
              <text:a xlink:type="simple" xlink:href="https://gemeentebestuur.leusden.nl/Documenten/Natuurmonumenten-Utrecht-Brief-gemeenteraadsverkiezingen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OV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264,05 KB</text:p>
          </table:table-cell>
          <table:table-cell table:style-name="Table3.A2" office:value-type="string">
            <text:p text:style-name="P22">
              <text:a xlink:type="simple" xlink:href="https://gemeentebestuur.leusden.nl/Documenten/persbericht-OV-en-mobil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Vitens-directiebrief-gemraadsvk26-UTRECHT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256,64 KB</text:p>
          </table:table-cell>
          <table:table-cell table:style-name="Table3.A2" office:value-type="string">
            <text:p text:style-name="P22">
              <text:a xlink:type="simple" xlink:href="https://gemeentebestuur.leusden.nl/Documenten/Vitens-directiebrief-gemraadsvk26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554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