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8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00:58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Input voor verkiezingsprogramma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250902 Standpunten gemeenteraadsverkiezingen BBA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211,74 KB</text:p>
          </table:table-cell>
          <table:table-cell table:style-name="Table3.A2" office:value-type="string">
            <text:p text:style-name="P22">
              <text:a xlink:type="simple" xlink:href="https://gemeentebestuur.leusden.nl/Documenten/250902-Standpunten-gemeenteraadsverkiezingen-BBA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KVLO en ALO Bewegingsonderwijs - Goed en voldoende bewegen op school
              <text:span text:style-name="T2"/>
            </text:p>
            <text:p text:style-name="P3"/>
          </table:table-cell>
          <table:table-cell table:style-name="Table3.A2" office:value-type="string">
            <text:p text:style-name="P4">08-09-2025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120,37 KB</text:p>
          </table:table-cell>
          <table:table-cell table:style-name="Table3.A2" office:value-type="string">
            <text:p text:style-name="P22">
              <text:a xlink:type="simple" xlink:href="https://gemeentebestuur.leusden.nl/Documenten/KVLO-en-ALO-Bewegingsonderwijs-Goed-en-voldoende-bewegen-op-school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NAL gemeenteraadsverkiezingen belang laadinfrastructuur
              <text:span text:style-name="T2"/>
            </text:p>
            <text:p text:style-name="P3"/>
          </table:table-cell>
          <table:table-cell table:style-name="Table3.A2" office:value-type="string">
            <text:p text:style-name="P4">01-09-2025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92,63 KB</text:p>
          </table:table-cell>
          <table:table-cell table:style-name="Table3.A2" office:value-type="string">
            <text:p text:style-name="P22">
              <text:a xlink:type="simple" xlink:href="https://gemeentebestuur.leusden.nl/Documenten/NAL-gemeenteraadsverkiezingen-belang-laadinfrastructuu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7" meta:character-count="396" meta:non-whitespace-character-count="36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636998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636998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