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Mv.22.3 Motie vreemd VVD LB CDA SL CU-SGP Beheer de Wolf AANGENOMEN 16v-7t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21-10-2024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467,35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03-oktober/20:00/Moties-vreemd-aan-de-agenda/Mv-22-3-Motie-vreemd-VVD-LB-CDA-SL-CU-SGP-Beheer-de-Wolf-AANGENOMEN-16v-7t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Mv.22.4 Motie Vreemd GL-PvdA D66 Overleg profiel raad en BOB-structuur - verworpen 7v-16t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289,66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03-oktober/20:00/Moties-vreemd-aan-de-agenda/Mv-22-4-Motie-Vreemd-GL-PvdA-D66-Overleg-profiel-raad-en-BOB-structuur-verworpen-7v-16t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Mv.22.2 Motie vreemd GL-PvdA D66 Ombuigingen - verworpen 7v-16t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14-10-2024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295,86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03-oktober/20:00/Moties-vreemd-aan-de-agenda/Mv-22-2-Motie-vreemd-GL-PvdA-D66-Ombuigingen-verworpen-7v-16t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Mv.22.1 Motie Vreemd GL-PvdA D66 Tabaksteeg Zuid - verworpen 7v-16t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14-10-2024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301,85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03-oktober/20:00/Moties-vreemd-aan-de-agenda/Mv-22-1-Motie-Vreemd-GL-PvdA-D66-Tabaksteeg-Zuid-verworpen-7v-16t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4" meta:character-count="565" meta:non-whitespace-character-count="5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