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Mv.1 Motie Vreemd GL-PvdA D66 - onderzoek mantelzorgcentrum Leusden INGETROKKEN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1-Motie-Vreemd-GL-PvdA-D66-onderzoek-mantelzorgcentrum-Leusden-INGETROKK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Mv.2 Motie Vreemd LV VVD Veiligheid en verlichting v2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2-Motie-Vreemd-LV-VVD-Veiligheid-en-verlichting-v2-UNANIEM-AANGENOMEN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M.9.1 Motie D66 GL-PvdA VVD CDA antispeculatiebeding - UNANIEM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erordening-betaalbare-woningbouw-Leusden-2025/M-9-1-Motie-D66-GL-PvdA-VVD-CDA-antispeculatiebeding-UNANIEM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Mv.3 Motie GL-PvdA -aanhouden besluitvorming raadsvoorstel De Nieuwe Korf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3-Motie-GL-PvdA-aanhouden-besluitvorming-raadsvoorstel-De-Nieuwe-Korf-UNANIEM-AANGENOMEN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Mv.4 Motie LV - Korf scenario's 2.0 VERWORPEN 2v-19t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597,12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4-Motie-LV-Korf-scenario-s-2-0-VERWORPEN-2v-19t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3" meta:character-count="664" meta:non-whitespace-character-count="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1429634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1429634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